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D1C" w:rsidRDefault="007B2D1C" w:rsidP="007B2D1C">
      <w:bookmarkStart w:id="0" w:name="_GoBack"/>
      <w:bookmarkEnd w:id="0"/>
      <w:r>
        <w:t>Dear Fire Science Champions,</w:t>
      </w:r>
    </w:p>
    <w:p w:rsidR="007B2D1C" w:rsidRDefault="007B2D1C" w:rsidP="007B2D1C"/>
    <w:p w:rsidR="007B2D1C" w:rsidRDefault="007B2D1C" w:rsidP="007B2D1C">
      <w:r>
        <w:t xml:space="preserve">Thanks to those of you who were able to participate in </w:t>
      </w:r>
      <w:r w:rsidR="00FB105A">
        <w:t>the February</w:t>
      </w:r>
      <w:r>
        <w:t xml:space="preserve"> call. For those who weren’t able to participate, our discussion covered the Northern Rockies Fire Science Network’s renewal process; restoration and resilience; climate change planning; adaptive management; the Cohesive Strategy; using natural ignitions; </w:t>
      </w:r>
      <w:r w:rsidR="00FB105A">
        <w:t xml:space="preserve">claiming resource benefit acres, </w:t>
      </w:r>
      <w:r>
        <w:t xml:space="preserve">the importance of social issues in fire management; the challenges of interdisciplinary fuels planning; and an update on the Northern Rockies Fire Science Network’s (NRFSN) current and upcoming activities. </w:t>
      </w:r>
    </w:p>
    <w:p w:rsidR="007B2D1C" w:rsidRDefault="007B2D1C" w:rsidP="007B2D1C"/>
    <w:p w:rsidR="007B2D1C" w:rsidRDefault="007B2D1C" w:rsidP="007B2D1C">
      <w:r>
        <w:t>Here are links to the resources mentioned on the call:</w:t>
      </w:r>
    </w:p>
    <w:p w:rsidR="000E3168" w:rsidRDefault="000E3168" w:rsidP="007B2D1C">
      <w:pPr>
        <w:pStyle w:val="ListParagraph"/>
        <w:numPr>
          <w:ilvl w:val="0"/>
          <w:numId w:val="5"/>
        </w:numPr>
      </w:pPr>
      <w:r>
        <w:t>Adaptive Management</w:t>
      </w:r>
    </w:p>
    <w:p w:rsidR="007B2D1C" w:rsidRDefault="007B2D1C" w:rsidP="000E3168">
      <w:pPr>
        <w:pStyle w:val="ListParagraph"/>
        <w:numPr>
          <w:ilvl w:val="1"/>
          <w:numId w:val="5"/>
        </w:numPr>
      </w:pPr>
      <w:r>
        <w:t xml:space="preserve">Recorded Webinar - </w:t>
      </w:r>
      <w:hyperlink r:id="rId6" w:tgtFrame="_blank" w:tooltip="link to Sticky Legal Issues Surrounding Restoration video" w:history="1">
        <w:r w:rsidRPr="007B2D1C">
          <w:rPr>
            <w:rStyle w:val="Hyperlink"/>
            <w:rFonts w:asciiTheme="minorHAnsi" w:hAnsiTheme="minorHAnsi"/>
          </w:rPr>
          <w:t>Sticky Legal Issues Surrounding Restoration</w:t>
        </w:r>
      </w:hyperlink>
      <w:r>
        <w:rPr>
          <w:rFonts w:ascii="Verdana" w:hAnsi="Verdana"/>
          <w:sz w:val="18"/>
          <w:szCs w:val="18"/>
        </w:rPr>
        <w:t xml:space="preserve">: </w:t>
      </w:r>
      <w:r w:rsidRPr="007B2D1C">
        <w:t>Navigating adaptive management and cumulative effects analysis to satisfy legal requirements and address stakeholder concerns</w:t>
      </w:r>
    </w:p>
    <w:p w:rsidR="000E3168" w:rsidRDefault="00090CD4" w:rsidP="000E3168">
      <w:pPr>
        <w:pStyle w:val="ListParagraph"/>
        <w:numPr>
          <w:ilvl w:val="1"/>
          <w:numId w:val="5"/>
        </w:numPr>
      </w:pPr>
      <w:hyperlink r:id="rId7" w:history="1">
        <w:r w:rsidR="000E3168" w:rsidRPr="000E3168">
          <w:rPr>
            <w:rStyle w:val="Hyperlink"/>
          </w:rPr>
          <w:t>Making Monitoring Count: Project Design for Active Adaptive Management</w:t>
        </w:r>
      </w:hyperlink>
    </w:p>
    <w:p w:rsidR="000E3168" w:rsidRDefault="000E3168" w:rsidP="007B2D1C">
      <w:pPr>
        <w:pStyle w:val="ListParagraph"/>
        <w:numPr>
          <w:ilvl w:val="0"/>
          <w:numId w:val="5"/>
        </w:numPr>
      </w:pPr>
      <w:r>
        <w:t>Cohesive Strategy</w:t>
      </w:r>
    </w:p>
    <w:p w:rsidR="007B2D1C" w:rsidRDefault="00090CD4" w:rsidP="000E3168">
      <w:pPr>
        <w:pStyle w:val="ListParagraph"/>
      </w:pPr>
      <w:hyperlink r:id="rId8" w:anchor="scribd" w:history="1">
        <w:r w:rsidR="007B2D1C" w:rsidRPr="008F7AC1">
          <w:rPr>
            <w:rStyle w:val="Hyperlink"/>
          </w:rPr>
          <w:t>Western Regional Action Plan - National Cohesive Wildland Fire Management Strategy</w:t>
        </w:r>
      </w:hyperlink>
    </w:p>
    <w:p w:rsidR="00440232" w:rsidRDefault="00440232" w:rsidP="007B2D1C">
      <w:pPr>
        <w:pStyle w:val="ListParagraph"/>
        <w:numPr>
          <w:ilvl w:val="0"/>
          <w:numId w:val="5"/>
        </w:numPr>
      </w:pPr>
      <w:r>
        <w:t>Managing Unplanned Ignitions</w:t>
      </w:r>
    </w:p>
    <w:p w:rsidR="00440232" w:rsidRDefault="00440232" w:rsidP="00440232">
      <w:pPr>
        <w:pStyle w:val="ListParagraph"/>
      </w:pPr>
      <w:r w:rsidRPr="00440232">
        <w:t>The Next Step in Managing Unplanned Ignitions</w:t>
      </w:r>
      <w:r>
        <w:t xml:space="preserve"> [link to Tobin’s paper]</w:t>
      </w:r>
    </w:p>
    <w:p w:rsidR="008F7AC1" w:rsidRDefault="000E3168" w:rsidP="007B2D1C">
      <w:pPr>
        <w:pStyle w:val="ListParagraph"/>
        <w:numPr>
          <w:ilvl w:val="0"/>
          <w:numId w:val="5"/>
        </w:numPr>
      </w:pPr>
      <w:r>
        <w:t>Genotypic Plasticity and Bristlecone Pine</w:t>
      </w:r>
    </w:p>
    <w:p w:rsidR="000E3168" w:rsidRDefault="00090CD4" w:rsidP="000E3168">
      <w:pPr>
        <w:pStyle w:val="ListParagraph"/>
        <w:numPr>
          <w:ilvl w:val="1"/>
          <w:numId w:val="5"/>
        </w:numPr>
      </w:pPr>
      <w:hyperlink r:id="rId9" w:history="1">
        <w:r w:rsidR="000E3168" w:rsidRPr="000E3168">
          <w:rPr>
            <w:rStyle w:val="Hyperlink"/>
          </w:rPr>
          <w:t>Phenotypic plasticity and longevity in plants and animals: cause and effect?</w:t>
        </w:r>
      </w:hyperlink>
    </w:p>
    <w:p w:rsidR="00440232" w:rsidRDefault="00090CD4" w:rsidP="00440232">
      <w:pPr>
        <w:pStyle w:val="ListParagraph"/>
        <w:numPr>
          <w:ilvl w:val="1"/>
          <w:numId w:val="5"/>
        </w:numPr>
      </w:pPr>
      <w:hyperlink r:id="rId10" w:history="1">
        <w:r w:rsidR="00440232" w:rsidRPr="00440232">
          <w:rPr>
            <w:rStyle w:val="Hyperlink"/>
          </w:rPr>
          <w:t>Greenhouse “Time Machine” Sheds Light on Corn Domestication</w:t>
        </w:r>
      </w:hyperlink>
    </w:p>
    <w:p w:rsidR="00440232" w:rsidRDefault="00090CD4" w:rsidP="00440232">
      <w:pPr>
        <w:pStyle w:val="ListParagraph"/>
        <w:numPr>
          <w:ilvl w:val="1"/>
          <w:numId w:val="5"/>
        </w:numPr>
      </w:pPr>
      <w:hyperlink r:id="rId11" w:history="1">
        <w:r w:rsidR="00440232" w:rsidRPr="00440232">
          <w:rPr>
            <w:rStyle w:val="Hyperlink"/>
          </w:rPr>
          <w:t>Experimental study of growth and phenotypic variability in Late Pleistocene and early Holocene environments</w:t>
        </w:r>
      </w:hyperlink>
    </w:p>
    <w:p w:rsidR="00440232" w:rsidRDefault="00090CD4" w:rsidP="00440232">
      <w:pPr>
        <w:pStyle w:val="ListParagraph"/>
        <w:numPr>
          <w:ilvl w:val="1"/>
          <w:numId w:val="5"/>
        </w:numPr>
      </w:pPr>
      <w:hyperlink r:id="rId12" w:history="1">
        <w:r w:rsidR="00440232" w:rsidRPr="000E3168">
          <w:rPr>
            <w:rStyle w:val="Hyperlink"/>
          </w:rPr>
          <w:t>IUCN Bristlecone Pine Summary</w:t>
        </w:r>
      </w:hyperlink>
    </w:p>
    <w:p w:rsidR="000E3168" w:rsidRDefault="00090CD4" w:rsidP="00440232">
      <w:pPr>
        <w:pStyle w:val="ListParagraph"/>
        <w:numPr>
          <w:ilvl w:val="1"/>
          <w:numId w:val="5"/>
        </w:numPr>
      </w:pPr>
      <w:hyperlink r:id="rId13" w:anchor="page_scan_tab_contents" w:history="1">
        <w:r w:rsidR="000E3168" w:rsidRPr="000E3168">
          <w:rPr>
            <w:rStyle w:val="Hyperlink"/>
          </w:rPr>
          <w:t>Patterns and levels of genetic variation in Great Basin Bristlecone Pine</w:t>
        </w:r>
      </w:hyperlink>
    </w:p>
    <w:p w:rsidR="007B2D1C" w:rsidRDefault="007B2D1C" w:rsidP="007B2D1C"/>
    <w:p w:rsidR="007B2D1C" w:rsidRDefault="00440232" w:rsidP="007B2D1C">
      <w:r>
        <w:t>Our next step will be to incorporate the feedback NRFSN received today into our renewal proposal to the Joint Fire Sciences Program</w:t>
      </w:r>
      <w:r w:rsidR="00FB105A">
        <w:t xml:space="preserve"> and to provide insights on research needs from the field</w:t>
      </w:r>
      <w:r>
        <w:t>.</w:t>
      </w:r>
    </w:p>
    <w:p w:rsidR="007B2D1C" w:rsidRDefault="007B2D1C" w:rsidP="007B2D1C"/>
    <w:p w:rsidR="007B2D1C" w:rsidRDefault="007B2D1C" w:rsidP="007B2D1C">
      <w:r>
        <w:t>Thanks for the great discussion and helpful feedback. Vita</w:t>
      </w:r>
    </w:p>
    <w:p w:rsidR="006D7F48" w:rsidRDefault="006D7F48"/>
    <w:sectPr w:rsidR="006D7F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FA1269"/>
    <w:multiLevelType w:val="hybridMultilevel"/>
    <w:tmpl w:val="DB8C4002"/>
    <w:lvl w:ilvl="0" w:tplc="7CA4198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2DF0354"/>
    <w:multiLevelType w:val="hybridMultilevel"/>
    <w:tmpl w:val="DF149CA8"/>
    <w:lvl w:ilvl="0" w:tplc="29A87E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8F666C"/>
    <w:multiLevelType w:val="hybridMultilevel"/>
    <w:tmpl w:val="A56488A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0F15F9"/>
    <w:multiLevelType w:val="hybridMultilevel"/>
    <w:tmpl w:val="4D32DCD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A22024"/>
    <w:multiLevelType w:val="hybridMultilevel"/>
    <w:tmpl w:val="F906F93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EC3627"/>
    <w:multiLevelType w:val="hybridMultilevel"/>
    <w:tmpl w:val="A20E865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D1C"/>
    <w:rsid w:val="00090CD4"/>
    <w:rsid w:val="000E3168"/>
    <w:rsid w:val="00440232"/>
    <w:rsid w:val="006D7F48"/>
    <w:rsid w:val="007B2D1C"/>
    <w:rsid w:val="008F7AC1"/>
    <w:rsid w:val="00FB1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D1C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B2D1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B2D1C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D1C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B2D1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B2D1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4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ribd.com/doc/143426529/Western-Regional-Action-Plan-National-Cohesive-Wildland-Fire-Management-Strategy" TargetMode="External"/><Relationship Id="rId13" Type="http://schemas.openxmlformats.org/officeDocument/2006/relationships/hyperlink" Target="http://www.jstor.org/stable/2408339?seq=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frc.ifas.ufl.edu/CFEOR/LogIn/log%20in%20docs/recent%20research/Making%20Monitoring%20Count.pdf" TargetMode="External"/><Relationship Id="rId12" Type="http://schemas.openxmlformats.org/officeDocument/2006/relationships/hyperlink" Target="http://www.iucnredlist.org/details/34024/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ideos.firelab.org/rmrs/javascript-disabled.html" TargetMode="External"/><Relationship Id="rId11" Type="http://schemas.openxmlformats.org/officeDocument/2006/relationships/hyperlink" Target="http://www.sciencedirect.com/science/article/pii/S104061821300983X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newsdesk.si.edu/releases/greenhouse-time-machine-sheds-light-corn-domesticatio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as.ac.in/jbiosci/oct2009/605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Forest Service</Company>
  <LinksUpToDate>false</LinksUpToDate>
  <CharactersWithSpaces>2570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USDA Forest Service</dc:creator>
  <cp:lastModifiedBy>USDA Forest Service</cp:lastModifiedBy>
  <cp:revision>2</cp:revision>
  <dcterms:created xsi:type="dcterms:W3CDTF">2015-02-02T22:17:00Z</dcterms:created>
  <dcterms:modified xsi:type="dcterms:W3CDTF">2015-02-02T22:17:00Z</dcterms:modified>
</cp:coreProperties>
</file>